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onsolas" w:hAnsi="Consolas"/>
          <w:color w:val="000000"/>
          <w:sz w:val="22"/>
        </w:rPr>
      </w:pPr>
      <w:r>
        <w:rPr/>
      </w:r>
    </w:p>
    <w:p>
      <w:pPr>
        <w:pStyle w:val="Normal"/>
        <w:rPr>
          <w:rFonts w:ascii="Arial Narrow" w:hAnsi="Arial Narrow"/>
        </w:rPr>
      </w:pPr>
      <w:r>
        <w:drawing>
          <wp:anchor distT="0" distB="0" distL="0" distR="0" simplePos="0" relativeHeight="11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810" cy="1452245"/>
            <wp:effectExtent l="0" t="0" r="0" b="0"/>
            <wp:wrapSquare wrapText="largest"/>
            <wp:docPr id="1" name="Image9 Cop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9 Copi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45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color w:val="000000"/>
          <w:sz w:val="22"/>
        </w:rPr>
        <w:t xml:space="preserve">📒 </w:t>
      </w:r>
      <w:r>
        <w:rPr>
          <w:rFonts w:ascii="Arial Narrow" w:hAnsi="Arial Narrow"/>
          <w:color w:val="000000"/>
          <w:sz w:val="22"/>
        </w:rPr>
        <w:t xml:space="preserve">Accès aux droits et discriminations : quelles spécificités pour les personnes en situation de précarité ? ✍️ Enquête sur l'accès aux droits (EAD) — 2ᵉ édition, Volume 5 - Structure éditrice : Défenseur des droits (Défenseure des droits, Claire Hédon) — juillet 2026 </w:t>
      </w:r>
      <w:hyperlink r:id="rId3">
        <w:r>
          <w:rPr>
            <w:rStyle w:val="Hyperlink"/>
            <w:rFonts w:ascii="Arial Narrow" w:hAnsi="Arial Narrow"/>
            <w:color w:val="000000"/>
            <w:sz w:val="22"/>
          </w:rPr>
          <w:t>https://www.pratiquesensante.com/blog/pratiques-15/acces-aux-droits-et-discriminations-quelles-specificites-pour-les-personnes-en-situation-de-precarite-6093</w:t>
        </w:r>
      </w:hyperlink>
      <w:r>
        <w:rPr>
          <w:rFonts w:ascii="Arial Narrow" w:hAnsi="Arial Narrow"/>
          <w:color w:val="000000"/>
          <w:sz w:val="22"/>
        </w:rPr>
        <w:t xml:space="preserve"> </w:t>
      </w:r>
    </w:p>
    <w:tbl>
      <w:tblPr>
        <w:tblW w:w="10100" w:type="dxa"/>
        <w:jc w:val="start"/>
        <w:tblInd w:w="160" w:type="dxa"/>
        <w:tblLayout w:type="fixed"/>
        <w:tblCellMar>
          <w:top w:w="160" w:type="dxa"/>
          <w:start w:w="160" w:type="dxa"/>
          <w:bottom w:w="160" w:type="dxa"/>
          <w:end w:w="160" w:type="dxa"/>
        </w:tblCellMar>
      </w:tblPr>
      <w:tblGrid>
        <w:gridCol w:w="7200"/>
        <w:gridCol w:w="2900"/>
      </w:tblGrid>
      <w:tr>
        <w:trPr/>
        <w:tc>
          <w:tcPr>
            <w:tcW w:w="7200" w:type="dxa"/>
            <w:tcBorders>
              <w:top w:val="single" w:sz="6" w:space="0" w:color="C9D3E0"/>
            </w:tcBorders>
            <w:shd w:color="auto" w:fill="1E5AA0" w:val="clear"/>
            <w:vAlign w:val="center"/>
          </w:tcPr>
          <w:p>
            <w:pPr>
              <w:pStyle w:val="Normal"/>
              <w:spacing w:lineRule="auto" w:line="319" w:before="0" w:after="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FFFFFF"/>
                <w:sz w:val="44"/>
                <w:szCs w:val="44"/>
              </w:rPr>
              <w:t>Vos droits quand vous vivez avec peu d'argent</w:t>
            </w:r>
          </w:p>
        </w:tc>
        <w:tc>
          <w:tcPr>
            <w:tcW w:w="2900" w:type="dxa"/>
            <w:tcBorders>
              <w:top w:val="single" w:sz="6" w:space="0" w:color="C9D3E0"/>
            </w:tcBorders>
            <w:shd w:color="auto" w:fill="1E5AA0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176020" cy="1176020"/>
                  <wp:effectExtent l="0" t="0" r="0" b="0"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1176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/>
            <w:shd w:color="auto" w:fill="EEF3F9" w:val="clear"/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De quoi parle ce document ?</w:t>
            </w:r>
          </w:p>
          <w:p>
            <w:pPr>
              <w:pStyle w:val="Normal"/>
              <w:spacing w:lineRule="auto" w:line="288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Le Défenseur des droits a fait une grande enquête.</w:t>
            </w:r>
          </w:p>
          <w:p>
            <w:pPr>
              <w:pStyle w:val="Normal"/>
              <w:spacing w:lineRule="auto" w:line="288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Elle explique la vie des personnes qui ont peu d'argent.</w:t>
            </w:r>
          </w:p>
        </w:tc>
        <w:tc>
          <w:tcPr>
            <w:tcW w:w="2900" w:type="dxa"/>
            <w:tcBorders/>
            <w:shd w:color="auto" w:fill="EEF3F9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3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/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La vie est plus difficile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Peu de personnes pauvres ont un travail.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Peu de personnes pauvres ont leur propre logement.</w:t>
            </w:r>
          </w:p>
          <w:p>
            <w:pPr>
              <w:pStyle w:val="Normal"/>
              <w:spacing w:lineRule="auto" w:line="300" w:before="0" w:after="0"/>
              <w:jc w:val="start"/>
              <w:rPr/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Beaucoup ont une maladie ou un handicap</w:t>
            </w: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30"/>
                <w:szCs w:val="30"/>
              </w:rPr>
              <w:t>.</w:t>
            </w:r>
          </w:p>
        </w:tc>
        <w:tc>
          <w:tcPr>
            <w:tcW w:w="2900" w:type="dxa"/>
            <w:tcBorders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4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/>
            <w:shd w:color="auto" w:fill="EEF3F9" w:val="clear"/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Les personnes pauvres sont souvent mal traitées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On leur refuse plus souvent un travail.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On leur refuse plus souvent un logement.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Parfois, la police refuse de prendre leur plainte.</w:t>
            </w:r>
          </w:p>
          <w:p>
            <w:pPr>
              <w:pStyle w:val="Normal"/>
              <w:spacing w:lineRule="auto" w:line="30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La loi interdit cela.</w:t>
            </w:r>
          </w:p>
        </w:tc>
        <w:tc>
          <w:tcPr>
            <w:tcW w:w="2900" w:type="dxa"/>
            <w:tcBorders/>
            <w:shd w:color="auto" w:fill="EEF3F9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5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/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Les démarches sont compliquées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Les démarches sur internet sont difficiles.</w:t>
            </w:r>
          </w:p>
          <w:p>
            <w:pPr>
              <w:pStyle w:val="Normal"/>
              <w:spacing w:lineRule="auto" w:line="30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Beaucoup de personnes n'ont personne pour les aider.</w:t>
            </w:r>
          </w:p>
        </w:tc>
        <w:tc>
          <w:tcPr>
            <w:tcW w:w="2900" w:type="dxa"/>
            <w:tcBorders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6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/>
            <w:shd w:color="auto" w:fill="EEF3F9" w:val="clear"/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Beaucoup renoncent à leurs droits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Beaucoup pensent que cela ne sert à rien.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Beaucoup ne savent pas qui peut les aider.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Environ 1 personne sur 2 renonce à se soigner.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Souvent, c'est par manque d'argent.</w:t>
            </w:r>
          </w:p>
          <w:p>
            <w:pPr>
              <w:pStyle w:val="Normal"/>
              <w:spacing w:lineRule="auto" w:line="30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Elles y sont obligées. C'est trop difficile pour elles.</w:t>
            </w:r>
          </w:p>
        </w:tc>
        <w:tc>
          <w:tcPr>
            <w:tcW w:w="2900" w:type="dxa"/>
            <w:tcBorders/>
            <w:shd w:color="auto" w:fill="EEF3F9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7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/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Ce que vous pouvez faire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Vous pouvez demander de l'aide pour vos démarches.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Vous avez le droit de porter plainte.</w:t>
            </w:r>
          </w:p>
          <w:p>
            <w:pPr>
              <w:pStyle w:val="Normal"/>
              <w:spacing w:lineRule="auto" w:line="30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Vous avez le droit de vous soigner.</w:t>
            </w:r>
          </w:p>
        </w:tc>
        <w:tc>
          <w:tcPr>
            <w:tcW w:w="2900" w:type="dxa"/>
            <w:tcBorders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8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/>
            <w:shd w:color="auto" w:fill="EEF3F9" w:val="clear"/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Où trouver de l'aide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Le Défenseur des droits protège vos droits.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Son aide est gratuite.</w:t>
            </w:r>
          </w:p>
          <w:p>
            <w:pPr>
              <w:pStyle w:val="Normal"/>
              <w:spacing w:lineRule="auto" w:line="30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Une association près de chez vous peut aussi vous aider.</w:t>
            </w:r>
          </w:p>
        </w:tc>
        <w:tc>
          <w:tcPr>
            <w:tcW w:w="2900" w:type="dxa"/>
            <w:tcBorders/>
            <w:shd w:color="auto" w:fill="EEF3F9" w:val="clear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9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200" w:type="dxa"/>
            <w:tcBorders>
              <w:bottom w:val="single" w:sz="6" w:space="0" w:color="C9D3E0"/>
            </w:tcBorders>
            <w:tcMar>
              <w:top w:w="140" w:type="dxa"/>
              <w:bottom w:w="140" w:type="dxa"/>
            </w:tcMar>
            <w:vAlign w:val="center"/>
          </w:tcPr>
          <w:p>
            <w:pPr>
              <w:pStyle w:val="Normal"/>
              <w:spacing w:lineRule="auto" w:line="300" w:before="0" w:after="140"/>
              <w:jc w:val="start"/>
              <w:rPr/>
            </w:pPr>
            <w:r>
              <w:rPr>
                <w:rFonts w:eastAsia="Verdana" w:cs="Verdana" w:ascii="Verdana" w:hAnsi="Verdana"/>
                <w:b/>
                <w:bCs/>
                <w:color w:val="1E5AA0"/>
                <w:sz w:val="34"/>
                <w:szCs w:val="34"/>
              </w:rPr>
              <w:t>Les mots difficiles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Précarité : c'est quand une personne a très peu d'argent. Sa vie est difficile.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Discrimination : c'est mal traiter une personne à cause de ce qu'elle est.</w:t>
            </w:r>
          </w:p>
          <w:p>
            <w:pPr>
              <w:pStyle w:val="Normal"/>
              <w:spacing w:lineRule="auto" w:line="300" w:before="0" w:after="12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Renoncer : c'est abandonner une chose. C'est arrêter de la demander.</w:t>
            </w:r>
          </w:p>
          <w:p>
            <w:pPr>
              <w:pStyle w:val="Normal"/>
              <w:spacing w:lineRule="auto" w:line="30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color w:val="283747"/>
                <w:sz w:val="28"/>
                <w:szCs w:val="28"/>
              </w:rPr>
              <w:t>Défenseur des droits : c'est un service public. Il protège vos droits. Il est gratuit.</w:t>
            </w:r>
          </w:p>
        </w:tc>
        <w:tc>
          <w:tcPr>
            <w:tcW w:w="2900" w:type="dxa"/>
            <w:tcBorders>
              <w:bottom w:val="single" w:sz="6" w:space="0" w:color="C9D3E0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428750" cy="1428750"/>
                  <wp:effectExtent l="0" t="0" r="0" b="0"/>
                  <wp:docPr id="10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pBdr>
          <w:top w:val="single" w:sz="6" w:space="0" w:color="C9D3E0"/>
        </w:pBdr>
        <w:spacing w:before="200" w:after="60"/>
        <w:rPr>
          <w:rFonts w:ascii="Verdana" w:hAnsi="Verdana" w:eastAsia="Verdana" w:cs="Verdana"/>
          <w:color w:val="5A6472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1E5AA0"/>
          <w:sz w:val="24"/>
          <w:szCs w:val="24"/>
        </w:rPr>
        <w:t>Version FALC provisoire, à faire relire par des personnes concernées avant diffusion.</w:t>
      </w:r>
    </w:p>
    <w:sectPr>
      <w:headerReference w:type="default" r:id="rId13"/>
      <w:type w:val="nextPage"/>
      <w:pgSz w:w="11906" w:h="16838"/>
      <w:pgMar w:left="850" w:right="850" w:gutter="0" w:header="680" w:top="1194" w:footer="0" w:bottom="6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onsolas">
    <w:charset w:val="00" w:characterSet="windows-1252"/>
    <w:family w:val="roman"/>
    <w:pitch w:val="variable"/>
  </w:font>
  <w:font w:name="Arial Narrow">
    <w:charset w:val="01"/>
    <w:family w:val="swiss"/>
    <w:pitch w:val="variable"/>
  </w:font>
  <w:font w:name="Verdana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Daniel Oberlé – Pratiques en Santé – 3 juillet 2026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fr-FR" w:eastAsia="zh-CN" w:bidi="hi-IN"/>
    </w:rPr>
  </w:style>
  <w:style w:type="paragraph" w:styleId="Heading1">
    <w:name w:val="heading 1"/>
    <w:basedOn w:val="Titre"/>
    <w:qFormat/>
    <w:pPr/>
    <w:rPr>
      <w:color w:val="2E74B5"/>
      <w:sz w:val="32"/>
      <w:szCs w:val="32"/>
    </w:rPr>
  </w:style>
  <w:style w:type="paragraph" w:styleId="Heading2">
    <w:name w:val="heading 2"/>
    <w:basedOn w:val="Titre"/>
    <w:qFormat/>
    <w:pPr/>
    <w:rPr>
      <w:color w:val="2E74B5"/>
      <w:sz w:val="26"/>
      <w:szCs w:val="26"/>
    </w:rPr>
  </w:style>
  <w:style w:type="paragraph" w:styleId="Heading3">
    <w:name w:val="heading 3"/>
    <w:basedOn w:val="Titre"/>
    <w:qFormat/>
    <w:pPr/>
    <w:rPr>
      <w:color w:val="1F4D78"/>
      <w:sz w:val="24"/>
      <w:szCs w:val="24"/>
    </w:rPr>
  </w:style>
  <w:style w:type="paragraph" w:styleId="Heading4">
    <w:name w:val="heading 4"/>
    <w:basedOn w:val="Titre"/>
    <w:qFormat/>
    <w:pPr/>
    <w:rPr>
      <w:i/>
      <w:iCs/>
      <w:color w:val="2E74B5"/>
    </w:rPr>
  </w:style>
  <w:style w:type="paragraph" w:styleId="Heading5">
    <w:name w:val="heading 5"/>
    <w:basedOn w:val="Titre"/>
    <w:qFormat/>
    <w:pPr/>
    <w:rPr>
      <w:color w:val="2E74B5"/>
    </w:rPr>
  </w:style>
  <w:style w:type="paragraph" w:styleId="Heading6">
    <w:name w:val="heading 6"/>
    <w:basedOn w:val="Titre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ctresdenotedebasdepage">
    <w:name w:val="Caractères de note de bas de page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ctresdenotedefin">
    <w:name w:val="Caractères de note de fin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re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fr-FR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fr-FR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ontenudecadre">
    <w:name w:val="Contenu de cadre"/>
    <w:basedOn w:val="Normal"/>
    <w:qFormat/>
    <w:pPr/>
    <w:rPr/>
  </w:style>
  <w:style w:type="paragraph" w:styleId="En-tteetpieddepage">
    <w:name w:val="En-tête et pied de page"/>
    <w:basedOn w:val="Normal"/>
    <w:qFormat/>
    <w:pPr>
      <w:suppressLineNumbers/>
      <w:tabs>
        <w:tab w:val="clear" w:pos="720"/>
        <w:tab w:val="center" w:pos="5103" w:leader="none"/>
        <w:tab w:val="right" w:pos="10206" w:leader="none"/>
      </w:tabs>
    </w:pPr>
    <w:rPr/>
  </w:style>
  <w:style w:type="paragraph" w:styleId="Header">
    <w:name w:val="header"/>
    <w:basedOn w:val="En-tteetpieddepag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pratiquesensante.com/blog/pratiques-15/acces-aux-droits-et-discriminations-quelles-specificites-pour-les-personnes-en-situation-de-precarite-6093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LibreOffice/26.2.4.2$Windows_X86_64 LibreOffice_project/0229ac93fcf0d7cbc6376066c6f35021cef002dc</Application>
  <AppVersion>15.0000</AppVersion>
  <Pages>3</Pages>
  <Words>326</Words>
  <Characters>1788</Characters>
  <CharactersWithSpaces>2081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2026-08-03T08:02:49Z</dcterms:created>
  <dc:creator>Pratiques en santé — FALC</dc:creator>
  <dc:description/>
  <dc:language>fr-FR</dc:language>
  <cp:lastModifiedBy/>
  <dcterms:modified xsi:type="dcterms:W3CDTF">2026-08-03T10:14:52Z</dcterms:modified>
  <cp:revision>2</cp:revision>
  <dc:subject/>
  <dc:title>Vos droits quand vous vivez avec peu d'argent (FALC)</dc:title>
</cp:coreProperties>
</file>